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F3" w:rsidRDefault="009046F3"/>
    <w:p w:rsidR="00511ED3" w:rsidRPr="00511ED3" w:rsidRDefault="00511ED3" w:rsidP="00511ED3">
      <w:pPr>
        <w:jc w:val="center"/>
        <w:rPr>
          <w:lang w:val="ru-RU"/>
        </w:rPr>
      </w:pPr>
      <w:r>
        <w:rPr>
          <w:rFonts w:ascii="Times New Roman" w:hAnsi="Times New Roman"/>
          <w:b/>
          <w:sz w:val="26"/>
          <w:lang w:val="ru-UA"/>
        </w:rPr>
        <w:t>За</w:t>
      </w:r>
      <w:r>
        <w:rPr>
          <w:rFonts w:ascii="Times New Roman" w:hAnsi="Times New Roman"/>
          <w:b/>
          <w:sz w:val="26"/>
          <w:lang w:val="uk-UA"/>
        </w:rPr>
        <w:t>гальні умови електроп</w:t>
      </w:r>
      <w:r w:rsidRPr="00511ED3">
        <w:rPr>
          <w:rFonts w:ascii="Times New Roman" w:hAnsi="Times New Roman"/>
          <w:b/>
          <w:sz w:val="26"/>
          <w:lang w:val="ru-RU"/>
        </w:rPr>
        <w:t xml:space="preserve">остачання </w:t>
      </w:r>
    </w:p>
    <w:p w:rsidR="00511ED3" w:rsidRPr="00511ED3" w:rsidRDefault="00511ED3" w:rsidP="00511ED3">
      <w:pPr>
        <w:jc w:val="both"/>
        <w:rPr>
          <w:rFonts w:ascii="Times New Roman" w:hAnsi="Times New Roman"/>
          <w:sz w:val="24"/>
          <w:lang w:val="ru-RU"/>
        </w:rPr>
      </w:pPr>
      <w:r>
        <w:rPr>
          <w:rFonts w:ascii="Times New Roman" w:hAnsi="Times New Roman"/>
          <w:sz w:val="24"/>
          <w:lang w:val="ru-RU"/>
        </w:rPr>
        <w:t xml:space="preserve">1. </w:t>
      </w:r>
      <w:r w:rsidRPr="00511ED3">
        <w:rPr>
          <w:rFonts w:ascii="Times New Roman" w:hAnsi="Times New Roman"/>
          <w:sz w:val="24"/>
          <w:lang w:val="ru-RU"/>
        </w:rPr>
        <w:t>Електропостачальники, які постачають електричну енергію споживачам на роздрібному ринку, мають самостійно розробити форму відповідного договору на основі примірного чи типового договору, який є додатком до цих Правил. Розроблені форми договорів електропостачальники мають оприлюднювати на своїх офіційних вебсайтах.</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Постачальники універсальних послуг та постачальники "останньої надії" повинні оприлюднити на своїх вебсайтах типову форму договору про постачання електричної енергії постачальником універсальних послуг та типову форму договору про постачання електричної енергії постачальником "останньої надії" відповідно.</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Електропостачальник під час розробки форми договору має передбачити можливість здійснення вибору споживачем оплати послуг оператора системи в рахунках електропостачальника та можливість обміну документами, що оформлюються на виконання умов договору, з використанням мережі Інтернет без застосування електронного цифрового підпису.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Електропостачальник до укладення зі споживачем договору про постачання електричної енергії споживачу має надати інформацію про істотні умови договору та про наявний вибір комерційних пропозицій.</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Споживач перед укладенням договору про постачання електричної енергії споживачу має ознайомитись з умовами постачання електричної енергії, правами та обов'язками, обрати відповідну комерційну пропозицію та зазначити її у заяві-приєднані до умов договору. Обрана споживачем комерційна пропозиція є додатком до укладеного відповідним електропостачальником та споживачем договору.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2. Зміна або розірвання договору про постачання електричної енергії споживачу у зв'язку з істотною зміною обставин, якими сторони керувалися при його укладенні, здійснюється </w:t>
      </w:r>
      <w:proofErr w:type="gramStart"/>
      <w:r w:rsidRPr="00511ED3">
        <w:rPr>
          <w:rFonts w:ascii="Times New Roman" w:hAnsi="Times New Roman"/>
          <w:sz w:val="24"/>
          <w:lang w:val="ru-RU"/>
        </w:rPr>
        <w:t>у порядку</w:t>
      </w:r>
      <w:proofErr w:type="gramEnd"/>
      <w:r w:rsidRPr="00511ED3">
        <w:rPr>
          <w:rFonts w:ascii="Times New Roman" w:hAnsi="Times New Roman"/>
          <w:sz w:val="24"/>
          <w:lang w:val="ru-RU"/>
        </w:rPr>
        <w:t>, визначеному законодавством України, цими Правилами та умовами договору.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3. Електропостачальник, який планує припинити господарську діяльність з постачання електричної енергії або неспроможний постачати електричну енергію, має повідомити про дату припинення постачання електричної енергії постачальника "останньої надії", споживачів, Регулятора, оператора системи передачі та оператора системи розподілу </w:t>
      </w:r>
      <w:proofErr w:type="gramStart"/>
      <w:r w:rsidRPr="00511ED3">
        <w:rPr>
          <w:rFonts w:ascii="Times New Roman" w:hAnsi="Times New Roman"/>
          <w:sz w:val="24"/>
          <w:lang w:val="ru-RU"/>
        </w:rPr>
        <w:t>у порядку</w:t>
      </w:r>
      <w:proofErr w:type="gramEnd"/>
      <w:r w:rsidRPr="00511ED3">
        <w:rPr>
          <w:rFonts w:ascii="Times New Roman" w:hAnsi="Times New Roman"/>
          <w:sz w:val="24"/>
          <w:lang w:val="ru-RU"/>
        </w:rPr>
        <w:t xml:space="preserve"> та терміни, визначені Правилами</w:t>
      </w:r>
      <w:r>
        <w:rPr>
          <w:rFonts w:ascii="Times New Roman" w:hAnsi="Times New Roman"/>
          <w:sz w:val="24"/>
          <w:lang w:val="ru-RU"/>
        </w:rPr>
        <w:t xml:space="preserve"> роздрібного ринку електричної енергії (далі – Правила)</w:t>
      </w:r>
      <w:r w:rsidRPr="00511ED3">
        <w:rPr>
          <w:rFonts w:ascii="Times New Roman" w:hAnsi="Times New Roman"/>
          <w:sz w:val="24"/>
          <w:lang w:val="ru-RU"/>
        </w:rPr>
        <w:t>.</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4. У разі зміни умов договору про постачання електричної енергії споживачу, у тому числі комерційної пропозиції, електропостачальник не пізніше ніж за 20 днів до їх застосування повідомляє про це споживача з урахуванням інформації про право споживача розірвати договір.</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У разі надання у встановленому порядку електропостачальником споживачу повідомлення про зміни умов договору про постачання електричної енергії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"останньої надії") та/або змінами в нормативно-правових актах щодо формування цієї </w:t>
      </w:r>
      <w:r w:rsidRPr="00511ED3">
        <w:rPr>
          <w:rFonts w:ascii="Times New Roman" w:hAnsi="Times New Roman"/>
          <w:sz w:val="24"/>
          <w:lang w:val="ru-RU"/>
        </w:rPr>
        <w:lastRenderedPageBreak/>
        <w:t>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 про що зазначається у повідомленні:</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 достроково розірваним (без штрафних санкцій) за ініціативою споживача - у разі надання електропостачальнику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календарних днів до зазначеної в повідомленні дати зміни умов договору;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 у встановлений цим пунктом термін.</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Учасник роздрібного ринку (крім споживача) має інформувати споживача, з якими укладено відповідний договір, про будь-яку зміну в умовах договору шляхом направлення відповідної інформації у визначений договором (обраною споживачем комерційною пропозицією) спосіб (через особистий кабінет на своєму офіційному сайті у мережі Інтернет, засобами електронного зв'язку, СМС-повідомленням, </w:t>
      </w:r>
      <w:proofErr w:type="gramStart"/>
      <w:r w:rsidRPr="00511ED3">
        <w:rPr>
          <w:rFonts w:ascii="Times New Roman" w:hAnsi="Times New Roman"/>
          <w:sz w:val="24"/>
          <w:lang w:val="ru-RU"/>
        </w:rPr>
        <w:t>у пунктах</w:t>
      </w:r>
      <w:proofErr w:type="gramEnd"/>
      <w:r w:rsidRPr="00511ED3">
        <w:rPr>
          <w:rFonts w:ascii="Times New Roman" w:hAnsi="Times New Roman"/>
          <w:sz w:val="24"/>
          <w:lang w:val="ru-RU"/>
        </w:rPr>
        <w:t xml:space="preserve"> прийому платежів тощо).</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5. Ініціювання споживачем розірвання у разі зміни електропостачальника договору має відбуватися одночасно з ініціюванням ним початку процедури зміни електропостачальника, передбаченої главою 6.1 розділу </w:t>
      </w:r>
      <w:r>
        <w:rPr>
          <w:rFonts w:ascii="Times New Roman" w:hAnsi="Times New Roman"/>
          <w:sz w:val="24"/>
        </w:rPr>
        <w:t>VI</w:t>
      </w:r>
      <w:r w:rsidRPr="00511ED3">
        <w:rPr>
          <w:rFonts w:ascii="Times New Roman" w:hAnsi="Times New Roman"/>
          <w:sz w:val="24"/>
          <w:lang w:val="ru-RU"/>
        </w:rPr>
        <w:t xml:space="preserve"> Правил, або укладенням договорів, передбачених </w:t>
      </w:r>
      <w:r w:rsidRPr="00511ED3">
        <w:rPr>
          <w:rFonts w:ascii="Times New Roman" w:hAnsi="Times New Roman"/>
          <w:color w:val="0000FF"/>
          <w:sz w:val="24"/>
          <w:lang w:val="ru-RU"/>
        </w:rPr>
        <w:t>Правилами ринку</w:t>
      </w:r>
      <w:r w:rsidRPr="00511ED3">
        <w:rPr>
          <w:rFonts w:ascii="Times New Roman" w:hAnsi="Times New Roman"/>
          <w:sz w:val="24"/>
          <w:lang w:val="ru-RU"/>
        </w:rPr>
        <w:t>, а у разі остаточного припинення користування електричною енергією - з дотриманням вимог пункту 4.27 Правил.</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У таких випадках датою припинення договору вважається дата фактичної зміни електропостачальника або набуття споживачем статусу учасника ринку двосторонніх договорів, або остаточного припинення користування електричною енергією на об'єкті за відповідними точками комерційного обліку.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З 21 дня від дати отримання повідомлення до дати припинення договору розрахунки споживача з діючим постачальником здійснюються за зміненими умовами, які були повідомлені споживачу.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6. Укладення споживачем договору про постачання електричної енергії споживачу або договору про постачання електричної енергії постачальником універсальних послуг відбувається шляхом приєднання споживача </w:t>
      </w:r>
      <w:proofErr w:type="gramStart"/>
      <w:r w:rsidRPr="00511ED3">
        <w:rPr>
          <w:rFonts w:ascii="Times New Roman" w:hAnsi="Times New Roman"/>
          <w:sz w:val="24"/>
          <w:lang w:val="ru-RU"/>
        </w:rPr>
        <w:t>до договору</w:t>
      </w:r>
      <w:proofErr w:type="gramEnd"/>
      <w:r w:rsidRPr="00511ED3">
        <w:rPr>
          <w:rFonts w:ascii="Times New Roman" w:hAnsi="Times New Roman"/>
          <w:sz w:val="24"/>
          <w:lang w:val="ru-RU"/>
        </w:rPr>
        <w:t xml:space="preserve"> на умовах обраної споживачем комерційної пропозиції, для чого споживач подає такому електропостачальнику заяву-приєднання.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Електропостачальник може відмовити, якщо споживач не відповідає критеріям, встановленим для споживача універсальної послуги, та/або об'єкт споживача не відповідає критеріям, зазначеним в обраній комерційній пропозиції.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Якщо сторони дійдуть згоди на інших умовах, які не передбачені публічними комерційними пропозиціями відповідного електропостачальника, вони мають укласти договір у паперовій формі, зазначивши умови комерційної пропозиції.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7. Договір про постачання електричної енергії споживачу містить такі істотні умови: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lastRenderedPageBreak/>
        <w:t>1) загальні положення;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предмет договору;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3) умови постачання;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4) якість постачання електричної енергії;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5) ціна та/або порядок її розрахунку, порядок обліку та оплати електричної енергії;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6) права та обов'язки споживача;</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7) права і обов'язки електропостачальника;</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8) відповідальність сторін;</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9) порядок зміни електропостачальника;</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10) порядок врегулювання спорів;</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11) умови форс-мажорних обставин;</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12) строк дії договору;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13) реквізити сторін;</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14) порядок організації комерційного обліку електричної енергії та надання даних комерційного обліку електричної енергії відповідно до забезпечення послуг комерційного обліку;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15) інші умови.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8. Публічна комерційна пропозиція (комерційні пропозиції) електропостачальника повинна мати унікальну назву в межах одного електропостачальника та має містити таку інформацію:</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 ціну на електричну енергію, у тому числі диференційовані ціни та критерії диференціації;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визначену в ліцензії на провадження господарської діяльності з розподілу (передачі) території здійснення діяльності оператора системи, доступ до якої має електропостачальник і на якій пропонує відповідну комерційну пропозицію;</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3) спосіб оплати;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4) термін (строк) виставлення рахунку за спожиту електричну енергію та термін (строк) його оплати;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5) визначення способу оплати послуг з розподілу електричної енергії через електропостачальника з наступним переведенням цієї оплати електропостачальником оператору системи або напряму з оператором системи (необхідно обрати лише один з варіантів);</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6) розмір пені за порушення строку оплати або штраф;</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7) зобов'язання надавати компенсації споживачу за недотримання електропостачальником комерційної якості надання послуг;</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lastRenderedPageBreak/>
        <w:t>8) наявність або відсутність штрафу за дострокове припинення дії договору, розмір штрафу;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9) строк дії договору та умови пролонгації;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10) урахування пільг, субсидій;</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11) можливість постачання захищеним споживачам;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12) комерційна пропозиція може містити інші умови, які пов'язані безпосередньо з постачанням електричної енергії або особливостями постачання певного виду (на загальних умовах, постачальником універсальної послуги, постачальником "останньої надії").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9. Публічні комерційні пропозиції електропостачальника мають бути розділені за їх умовами (одна комерційна пропозиція має містити лише один з варіантів), зокрема за способом: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 визначення ціни на електричну енергію (із застосуванням ціни, не диференційованої за періодами часу, або цін, диференційованих за періодами часу (годинами) доби, або погодинних цін тощо);</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оплати електричної енергії (планові платежі або попередня оплата, або оплата за фактично відпущену електричну енергію);</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3) оплати послуг з розподілу електричної енергії (через електропостачальника або напряму з оператором системи).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Умови комерційної пропозиції мають бути однозначними, без можливості подвійного тлумачення.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10. Споживач перед укладенням договору про постачання електричної енергії має обрати відповідну комерційну пропозицію та зазначити її у заяві-приєднані до умов договору постачання електричної енергії споживачу. Така комерційна пропозиція є невід'ємним додатком </w:t>
      </w:r>
      <w:proofErr w:type="gramStart"/>
      <w:r w:rsidRPr="00511ED3">
        <w:rPr>
          <w:rFonts w:ascii="Times New Roman" w:hAnsi="Times New Roman"/>
          <w:sz w:val="24"/>
          <w:lang w:val="ru-RU"/>
        </w:rPr>
        <w:t>до договору</w:t>
      </w:r>
      <w:proofErr w:type="gramEnd"/>
      <w:r w:rsidRPr="00511ED3">
        <w:rPr>
          <w:rFonts w:ascii="Times New Roman" w:hAnsi="Times New Roman"/>
          <w:sz w:val="24"/>
          <w:lang w:val="ru-RU"/>
        </w:rPr>
        <w:t>.</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11. За наявності публічних комерційних пропозицій електропостачальник розміщує на своєму вебсайті та в центрах обслуговування споживачів бланк заяви-приєднання </w:t>
      </w:r>
      <w:proofErr w:type="gramStart"/>
      <w:r w:rsidRPr="00511ED3">
        <w:rPr>
          <w:rFonts w:ascii="Times New Roman" w:hAnsi="Times New Roman"/>
          <w:sz w:val="24"/>
          <w:lang w:val="ru-RU"/>
        </w:rPr>
        <w:t>до договору</w:t>
      </w:r>
      <w:proofErr w:type="gramEnd"/>
      <w:r w:rsidRPr="00511ED3">
        <w:rPr>
          <w:rFonts w:ascii="Times New Roman" w:hAnsi="Times New Roman"/>
          <w:sz w:val="24"/>
          <w:lang w:val="ru-RU"/>
        </w:rPr>
        <w:t xml:space="preserve"> постачання електричної енергії споживачу, в якому вказано найменування та адресу вебсайта електропостачальника, ЕІС-код електропостачальника як суб'єкта ринку електричної енергії, присвоєний у встановленому порядку, та містяться такі поля для заповнення споживачем: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 обрана комерційна пропозиція;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прізвище, ім'я, по батькові споживача (для фізичних осіб) або назва (для юридичних осіб);</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3) унікальний номер запису в Єдиному державному демографічному реєстрі (для фізичних осіб) (за наявності);</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4)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lastRenderedPageBreak/>
        <w:t>5) наявність/відсутність статусу платника єдиного податку (для фізичних осіб - підприємців та юридичних осіб);</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6) 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7) ЕІС-код об'єкта (площадки вимірювання);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8) найменування оператора системи, з яким споживач уклав договір про надання послуг з розподілу (передачі) електричної енергії;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9) наявність пільг/субсидії (у разі укладення договору про постачання електричної енергії з індивідуальним побутовим споживачем);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10) джерело обміну документами (номер засобу зв'язку, офіційна електронна адреса та адреса електронної пошти (за наявності)).</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12. Разом із заявою-приєднанням споживач також надає:</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 копію паспорта (для фізичних осіб) або витяг, або довідку, або копію виписки з ЄДР (для юридичних осіб) споживача;</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2) документ, що посвідчує право на представництво інтересів особи у випадку подання заяви представником (для фізичних осіб), або документ, що посвідчує право особи діяти від імені юридичної особи (для юридичних осіб);</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3) копія документа, що підтверджує право власності чи користування об'єктом;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4) паспорт точки розподілу/передачі об'єкта (площадки вимірювання).</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13. Споживач, обравши комерційну пропозицію, надає електропостачальнику заповнену заяву-приєднання разом із необхідними для укладення відповідного договору документами.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Така заява-приєднання може бути подана електропостачальнику одночасно із заявою-приєднанням до електричних мереж відповідно до </w:t>
      </w:r>
      <w:r w:rsidRPr="00511ED3">
        <w:rPr>
          <w:rFonts w:ascii="Times New Roman" w:hAnsi="Times New Roman"/>
          <w:color w:val="0000FF"/>
          <w:sz w:val="24"/>
          <w:lang w:val="ru-RU"/>
        </w:rPr>
        <w:t>Кодексу систем розподілу</w:t>
      </w:r>
      <w:r w:rsidRPr="00511ED3">
        <w:rPr>
          <w:rFonts w:ascii="Times New Roman" w:hAnsi="Times New Roman"/>
          <w:sz w:val="24"/>
          <w:lang w:val="ru-RU"/>
        </w:rPr>
        <w:t xml:space="preserve"> або </w:t>
      </w:r>
      <w:r w:rsidRPr="00511ED3">
        <w:rPr>
          <w:rFonts w:ascii="Times New Roman" w:hAnsi="Times New Roman"/>
          <w:color w:val="0000FF"/>
          <w:sz w:val="24"/>
          <w:lang w:val="ru-RU"/>
        </w:rPr>
        <w:t>Кодексу системи передачі</w:t>
      </w:r>
      <w:r w:rsidRPr="00511ED3">
        <w:rPr>
          <w:rFonts w:ascii="Times New Roman" w:hAnsi="Times New Roman"/>
          <w:sz w:val="24"/>
          <w:lang w:val="ru-RU"/>
        </w:rPr>
        <w:t xml:space="preserve"> через оператора системи. Електропостачальник зобов'язаний прийняти передану оператором системи заяву-приєднання разом із доданими до неї документами та розглянути її відповідно до цього пункту. У разі відсутності заперечень договір про постачання укладається з відкладальною умовою щодо початку здійснення постачання після завершення відповідних робіт з приєднання та облаштування вузла обліку електричної енергії та включення комерційної (комерційних) точки (точок) обліку споживача до реєстрів точок комерційного обліку електропостачальників. Про дату завершення робіт та початок постачання оператор системи повідомляє постачальника за 1 робочий день разом із наданням копії паспорта точки розподілу.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Електропостачальник, отримавши заяву-приєднання, протягом трьох робочих днів перевіряє можливість приєднання споживача до умов договору на умовах обраної комерційної пропозиції.</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У разі неможливості приєднання споживача до умов відповідного договору на умовах обраної комерційної пропозиції електропостачальник письмово протягом трьох робочих днів від дня </w:t>
      </w:r>
      <w:r w:rsidRPr="00511ED3">
        <w:rPr>
          <w:rFonts w:ascii="Times New Roman" w:hAnsi="Times New Roman"/>
          <w:sz w:val="24"/>
          <w:lang w:val="ru-RU"/>
        </w:rPr>
        <w:lastRenderedPageBreak/>
        <w:t>отримання заяви-приєднання повідомляє заявника про відмову в укладенні відповідного договору та повертає йому документи, які були надані разом із заявою-приєднанням.</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14. Договір про постачання електричної енергії споживачу є укладеним, якщо сторони в належній формі досягли згоди з усіх істотних умов договору, та вважається укладеним з дати відкриття особового рахунка за об'єктом споживача або внесення змін до такого особового рахунка, про що споживач інформується у передбаченому договором порядку.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15. У разі закінчення строку дії договору про постачання електричної енергії або дострокового його розірвання (за ініціативою електропостачальника) електропостачальник не пізніше ніж за 20 календарних днів до передбачуваного дня припинення дії договору та постачання електричної енергії повинен повідомити про це споживача, відповідного (відповідних) оператора (операторів) системи та постачальника "останньої надії", на території діяльності якого розташовані електроустановки такого споживача, із зазначенням дати припинення постачання електричної енергії споживачу.</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 xml:space="preserve">Споживач після отримання повідомлення електропостачальника має право ініціювати зміну електропостачальника </w:t>
      </w:r>
      <w:proofErr w:type="gramStart"/>
      <w:r w:rsidRPr="00511ED3">
        <w:rPr>
          <w:rFonts w:ascii="Times New Roman" w:hAnsi="Times New Roman"/>
          <w:sz w:val="24"/>
          <w:lang w:val="ru-RU"/>
        </w:rPr>
        <w:t>у порядку</w:t>
      </w:r>
      <w:proofErr w:type="gramEnd"/>
      <w:r w:rsidRPr="00511ED3">
        <w:rPr>
          <w:rFonts w:ascii="Times New Roman" w:hAnsi="Times New Roman"/>
          <w:sz w:val="24"/>
          <w:lang w:val="ru-RU"/>
        </w:rPr>
        <w:t xml:space="preserve">, встановленому в розділі </w:t>
      </w:r>
      <w:r>
        <w:rPr>
          <w:rFonts w:ascii="Times New Roman" w:hAnsi="Times New Roman"/>
          <w:sz w:val="24"/>
        </w:rPr>
        <w:t>VI</w:t>
      </w:r>
      <w:r w:rsidRPr="00511ED3">
        <w:rPr>
          <w:rFonts w:ascii="Times New Roman" w:hAnsi="Times New Roman"/>
          <w:sz w:val="24"/>
          <w:lang w:val="ru-RU"/>
        </w:rPr>
        <w:t xml:space="preserve"> Правил.</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У разі недотримання електропостачальником терміну повідомлення відповідного (відповідних) оператора (операторів) системи та постачальника "останньої надії", на території діяльності якого розташовані електроустановки такого споживача, про припинення постачання електричної енергії споживачу обсяги спожитої електричної енергії до дати припинення з урахуванням встановленого 20-денного строку враховуються адміністратором комерційного обліку за цим електропостачальником, крім випадку, визначеного цими Правилами.</w:t>
      </w:r>
    </w:p>
    <w:p w:rsidR="00511ED3" w:rsidRPr="00511ED3" w:rsidRDefault="00511ED3" w:rsidP="00511ED3">
      <w:pPr>
        <w:jc w:val="both"/>
        <w:rPr>
          <w:rFonts w:ascii="Times New Roman" w:hAnsi="Times New Roman"/>
          <w:sz w:val="24"/>
          <w:lang w:val="ru-RU"/>
        </w:rPr>
      </w:pPr>
      <w:r w:rsidRPr="00511ED3">
        <w:rPr>
          <w:rFonts w:ascii="Times New Roman" w:hAnsi="Times New Roman"/>
          <w:sz w:val="24"/>
          <w:lang w:val="ru-RU"/>
        </w:rPr>
        <w:t>У разі відсутності заперечень усіх учасників роздрібного ринку, задіяних у процесі постачання електричної енергії цьому споживачу, щодо ранішої дати зміни постачальника та показів засобу (засобів) обліку на цю дату дія договору про постачання електричної енергії та внесення змін до реєстру точок комерційного обліку здійснюється в узгоджену сторонами дату зі зменшенням зазначеного вище строку.</w:t>
      </w:r>
      <w:bookmarkStart w:id="0" w:name="_GoBack"/>
      <w:bookmarkEnd w:id="0"/>
    </w:p>
    <w:sectPr w:rsidR="00511ED3" w:rsidRPr="00511ED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70" w:rsidRDefault="00954F70" w:rsidP="00511ED3">
      <w:pPr>
        <w:spacing w:after="0" w:line="240" w:lineRule="auto"/>
      </w:pPr>
      <w:r>
        <w:separator/>
      </w:r>
    </w:p>
  </w:endnote>
  <w:endnote w:type="continuationSeparator" w:id="0">
    <w:p w:rsidR="00954F70" w:rsidRDefault="00954F70" w:rsidP="005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70" w:rsidRDefault="00954F70" w:rsidP="00511ED3">
      <w:pPr>
        <w:spacing w:after="0" w:line="240" w:lineRule="auto"/>
      </w:pPr>
      <w:r>
        <w:separator/>
      </w:r>
    </w:p>
  </w:footnote>
  <w:footnote w:type="continuationSeparator" w:id="0">
    <w:p w:rsidR="00954F70" w:rsidRDefault="00954F70" w:rsidP="00511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12"/>
    <w:rsid w:val="001B1412"/>
    <w:rsid w:val="00511ED3"/>
    <w:rsid w:val="009046F3"/>
    <w:rsid w:val="0095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6F4"/>
  <w15:chartTrackingRefBased/>
  <w15:docId w15:val="{B817AF50-31B2-420F-99AC-7B5AC25B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ED3"/>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511ED3"/>
  </w:style>
  <w:style w:type="paragraph" w:styleId="a5">
    <w:name w:val="footer"/>
    <w:basedOn w:val="a"/>
    <w:link w:val="a6"/>
    <w:uiPriority w:val="99"/>
    <w:unhideWhenUsed/>
    <w:rsid w:val="00511ED3"/>
    <w:pPr>
      <w:tabs>
        <w:tab w:val="center" w:pos="4844"/>
        <w:tab w:val="right" w:pos="9689"/>
      </w:tabs>
      <w:spacing w:after="0" w:line="240" w:lineRule="auto"/>
    </w:pPr>
  </w:style>
  <w:style w:type="character" w:customStyle="1" w:styleId="a6">
    <w:name w:val="Нижний колонтитул Знак"/>
    <w:basedOn w:val="a0"/>
    <w:link w:val="a5"/>
    <w:uiPriority w:val="99"/>
    <w:rsid w:val="00511ED3"/>
  </w:style>
  <w:style w:type="paragraph" w:styleId="a7">
    <w:name w:val="List Paragraph"/>
    <w:basedOn w:val="a"/>
    <w:uiPriority w:val="34"/>
    <w:qFormat/>
    <w:rsid w:val="00511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2022-01-11T09:26:00Z</dcterms:created>
  <dcterms:modified xsi:type="dcterms:W3CDTF">2022-01-11T09:26:00Z</dcterms:modified>
</cp:coreProperties>
</file>